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jc w:val="left"/>
        <w:rPr>
          <w:rFonts w:hint="eastAsia" w:ascii="Times New Roman" w:hAnsi="Times New Roman" w:eastAsia="仿宋_GB2312" w:cs="Times New Roman"/>
          <w:sz w:val="32"/>
          <w:szCs w:val="32"/>
        </w:rPr>
      </w:pPr>
      <w:r>
        <w:rPr>
          <w:rFonts w:hint="eastAsia" w:ascii="黑体" w:hAnsi="黑体" w:eastAsia="黑体" w:cs="黑体"/>
          <w:sz w:val="32"/>
          <w:szCs w:val="32"/>
        </w:rPr>
        <w:t>附件</w:t>
      </w:r>
    </w:p>
    <w:p>
      <w:pPr>
        <w:jc w:val="both"/>
        <w:rPr>
          <w:rFonts w:hint="default" w:ascii="Times New Roman" w:hAnsi="Times New Roman" w:eastAsia="仿宋" w:cs="Times New Roman"/>
          <w:sz w:val="32"/>
          <w:szCs w:val="32"/>
        </w:rPr>
      </w:pPr>
    </w:p>
    <w:p>
      <w:pPr>
        <w:jc w:val="center"/>
        <w:outlineLvl w:val="0"/>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港口主要业务基本作业服务流程</w:t>
      </w:r>
      <w:bookmarkEnd w:id="0"/>
    </w:p>
    <w:p>
      <w:pPr>
        <w:jc w:val="center"/>
        <w:rPr>
          <w:rFonts w:hint="default" w:ascii="Times New Roman" w:hAnsi="Times New Roman" w:eastAsia="方正小标宋简体" w:cs="Times New Roman"/>
          <w:b/>
          <w:bCs/>
          <w:sz w:val="36"/>
          <w:szCs w:val="36"/>
        </w:rPr>
      </w:pP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一、船舶靠离泊作业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（一）船舶靠泊</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根据船期表，生产调度生成昼夜作业计划。②船舶靠泊前，生产调度与有关方面确认船名、船舶规范（船长、吃水量）、靠泊时间及靠泊泊位等事宜。③生产调度安排清理码头泊位，码头系解缆工在靠泊位安放好浮筒以及靠泊标示。④生产调度通过通讯设备与引航员或船长确认靠泊位置。⑤船舶靠到码头边并抛下缆绳，系解缆工系完所有缆绳后，生产调度与引航员通过通讯设备确认已靠泊。</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（二）船舶离泊</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根据船期表，生产调度生产昼夜作业计划。②船舶离泊前，生产调度与有关方面确认船名、船舶规范（船长、吃水量）、离泊时间等事宜。③生产调度通过通讯设备接收引航离泊指令。④码头系解缆工按照船长或引航员指令将船方松开的缆绳从缆桩上解开，完成解缆工作，确认离泊。</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二、集装箱作业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码头根据船期、舱单、船图等信息，制定卸船计划和堆场计划。</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码头根据船舶预报抵港时间，安排靠泊计划。</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码头在船舶靠港手续完备后根据计划进行卸船作业</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码头完成卸船作业后，理货公司向相关方发送理货报告。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提箱客户向码头或相关预约平台等申请预约提箱，码头收到提箱申请并校验海关放行信息无误后，生成提箱计划，并推送预约提箱信息或由提箱客户自行通过口岸</w:t>
      </w:r>
      <w:r>
        <w:rPr>
          <w:rFonts w:hint="eastAsia" w:ascii="仿宋_GB2312" w:hAnsi="仿宋_GB2312" w:eastAsia="仿宋_GB2312" w:cs="仿宋_GB2312"/>
          <w:sz w:val="32"/>
          <w:szCs w:val="32"/>
          <w:lang w:eastAsia="zh-CN"/>
        </w:rPr>
        <w:t>集装箱设备交换单（</w:t>
      </w:r>
      <w:r>
        <w:rPr>
          <w:rFonts w:hint="eastAsia" w:ascii="仿宋_GB2312" w:hAnsi="仿宋_GB2312" w:eastAsia="仿宋_GB2312" w:cs="仿宋_GB2312"/>
          <w:sz w:val="32"/>
          <w:szCs w:val="32"/>
        </w:rPr>
        <w:t>EIR</w:t>
      </w:r>
      <w:r>
        <w:rPr>
          <w:rFonts w:hint="eastAsia" w:ascii="仿宋_GB2312" w:hAnsi="仿宋_GB2312" w:eastAsia="仿宋_GB2312" w:cs="仿宋_GB2312"/>
          <w:sz w:val="32"/>
          <w:szCs w:val="32"/>
          <w:lang w:eastAsia="zh-CN"/>
        </w:rPr>
        <w:t>）相关系统</w:t>
      </w:r>
      <w:r>
        <w:rPr>
          <w:rFonts w:hint="eastAsia" w:ascii="仿宋_GB2312" w:hAnsi="仿宋_GB2312" w:eastAsia="仿宋_GB2312" w:cs="仿宋_GB2312"/>
          <w:sz w:val="32"/>
          <w:szCs w:val="32"/>
        </w:rPr>
        <w:t>等预约提箱。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码头闸口读取或校验提箱客户预约提箱信息，确认无误后对提箱拖车放行。⑥拖车到码头堆场指定位置完成提箱并出闸口，完成货物交付。</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码头根据船期制定集港计划，并在网上发布或向发货人推送相关集港信息。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进箱客户通过相关预约平台等向码头申请进港，码头闸口根据客户预约信息以及实际进箱信息进行验箱，验箱审核通过后放行进场。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集装箱进码头或其他监管场所后，码头或其他监管场所向相关方发送运抵报告，并可通过口岸EIR</w:t>
      </w:r>
      <w:r>
        <w:rPr>
          <w:rFonts w:hint="eastAsia" w:ascii="仿宋_GB2312" w:hAnsi="仿宋_GB2312" w:eastAsia="仿宋_GB2312" w:cs="仿宋_GB2312"/>
          <w:sz w:val="32"/>
          <w:szCs w:val="32"/>
          <w:lang w:eastAsia="zh-CN"/>
        </w:rPr>
        <w:t>相关系统</w:t>
      </w:r>
      <w:r>
        <w:rPr>
          <w:rFonts w:hint="eastAsia" w:ascii="仿宋_GB2312" w:hAnsi="仿宋_GB2312" w:eastAsia="仿宋_GB2312" w:cs="仿宋_GB2312"/>
          <w:sz w:val="32"/>
          <w:szCs w:val="32"/>
        </w:rPr>
        <w:t>查询。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码头收到海关放行信息，比对信息确认无误后，安排集装箱装船</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码头完成装船作业后，理货公司向相关方发送理货报告。</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（三）查验</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码头通过“单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窗口”等接受海关查验指令。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客户通过“单一窗口”等向码头发送查验预约申请。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查验预约时间、查验类型、货类等信息协调查验场地等资源，安排查验计划。④码头根据查验计划，安排车辆移箱。⑤码头根据查验计划及现场海关指令，安排工人拆装箱等相关作业。⑥报关行到码头查验点确认拆装箱量等查验情况，处理完成封签后，码头安排查验箱回场。</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三、大宗干散货、普通散货、件杂货作业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①码头按照客户提供信息办理货物卸船手续。②码头根据货运手续、装船船期、装载等情况，安排船舶靠泊计划。③船舶靠泊后，码头依据计划配备卸船资源，进行货物卸船作业</w:t>
      </w:r>
      <w:r>
        <w:rPr>
          <w:rFonts w:hint="eastAsia" w:ascii="仿宋_GB2312" w:hAnsi="仿宋_GB2312" w:eastAsia="仿宋_GB2312" w:cs="仿宋_GB2312"/>
          <w:sz w:val="32"/>
          <w:szCs w:val="32"/>
          <w:lang w:eastAsia="zh-CN"/>
        </w:rPr>
        <w:t>；需理货的，理货公司同步进行理货作业</w:t>
      </w:r>
      <w:r>
        <w:rPr>
          <w:rFonts w:hint="eastAsia" w:ascii="仿宋_GB2312" w:hAnsi="仿宋_GB2312" w:eastAsia="仿宋_GB2312" w:cs="仿宋_GB2312"/>
          <w:sz w:val="32"/>
          <w:szCs w:val="32"/>
        </w:rPr>
        <w:t>。④码头完成货物卸船作业后，根据货物入库信息确定交接清单信息，完成船货交接后，安排船舶离泊</w:t>
      </w:r>
      <w:r>
        <w:rPr>
          <w:rFonts w:hint="eastAsia" w:ascii="仿宋_GB2312" w:hAnsi="仿宋_GB2312" w:eastAsia="仿宋_GB2312" w:cs="仿宋_GB2312"/>
          <w:sz w:val="32"/>
          <w:szCs w:val="32"/>
          <w:lang w:eastAsia="zh-CN"/>
        </w:rPr>
        <w:t>；开展了理货作业的，理货公司向相关方发送理货报告</w:t>
      </w:r>
      <w:r>
        <w:rPr>
          <w:rFonts w:hint="eastAsia" w:ascii="仿宋_GB2312" w:hAnsi="仿宋_GB2312" w:eastAsia="仿宋_GB2312" w:cs="仿宋_GB2312"/>
          <w:sz w:val="32"/>
          <w:szCs w:val="32"/>
        </w:rPr>
        <w:t>。⑤码头按照与客户约定的疏港合同要求，安排货物疏港作业。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接受船舶、货物到港信息，根据船期、舱单、船图等信息，制定货物卸车计划和堆场计划。②码头根据船期、配载等情况，安排船舶靠泊计划。③船舶靠泊后，码头依据计划配备装船资源，进行货物装船作业</w:t>
      </w:r>
      <w:r>
        <w:rPr>
          <w:rFonts w:hint="eastAsia" w:ascii="仿宋_GB2312" w:hAnsi="仿宋_GB2312" w:eastAsia="仿宋_GB2312" w:cs="仿宋_GB2312"/>
          <w:sz w:val="32"/>
          <w:szCs w:val="32"/>
          <w:lang w:eastAsia="zh-CN"/>
        </w:rPr>
        <w:t>；需理货的，理货公司同步进行理货作业</w:t>
      </w:r>
      <w:r>
        <w:rPr>
          <w:rFonts w:hint="eastAsia" w:ascii="仿宋_GB2312" w:hAnsi="仿宋_GB2312" w:eastAsia="仿宋_GB2312" w:cs="仿宋_GB2312"/>
          <w:sz w:val="32"/>
          <w:szCs w:val="32"/>
        </w:rPr>
        <w:t>。④码头完成货物装船作业后，根据货物出库信息确定交接清单信息，完成船货交接后，安排船舶离泊</w:t>
      </w:r>
      <w:r>
        <w:rPr>
          <w:rFonts w:hint="eastAsia" w:ascii="仿宋_GB2312" w:hAnsi="仿宋_GB2312" w:eastAsia="仿宋_GB2312" w:cs="仿宋_GB2312"/>
          <w:sz w:val="32"/>
          <w:szCs w:val="32"/>
          <w:lang w:eastAsia="zh-CN"/>
        </w:rPr>
        <w:t>；开展了理货作业的，理货公司向相关方发送理货报告</w:t>
      </w:r>
      <w:r>
        <w:rPr>
          <w:rFonts w:hint="eastAsia" w:ascii="仿宋_GB2312" w:hAnsi="仿宋_GB2312" w:eastAsia="仿宋_GB2312" w:cs="仿宋_GB2312"/>
          <w:sz w:val="32"/>
          <w:szCs w:val="32"/>
        </w:rPr>
        <w:t>。</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四、原油、液化天然气作业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和代理公司根据生产作业计划和客户作业需求，办理船舶靠泊手续和行政许可。②码头根据预靠港船舶动态、船舶靠泊手续办理情况和原油或液化天然气库存情况，制定卸船计划。③码头根据卸船船期、配载等情况，安排船舶靠泊计划。④船舶靠泊后，码头和油库或液化天然气库依据工艺流程进行卸船作业。⑤码头完成卸船作业后，码头和油库或液化天然气库双方根据货物计量结果确定交接清单信息，完成船货交接后，安排船舶离泊。</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和代理公司根据生产作业计划或客户的作业需求，办理船舶靠泊手续和行政许可。②码头根据预靠船舶动态、船舶靠泊手续办理情况和原油或液化天然气库存情况制定装船计划。③码头根据装船船期、配载等情况，安排船舶靠泊计划。④船舶靠泊后，码头和油库或液化天然气依据工艺流程进行装船作业。⑤码头完成装船作业后，码头和油库或液化天然气以及买方三方根据货物计量结果确定交接清单信息，完成船货交接后，安排船舶离泊。</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五、滚装汽车作业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①码头根据船期、舱单、船图等信息，制定卸船计划和堆场计划。②码头根据船舶预报抵港时间，安排船舶靠泊计划。③码头在船舶靠港手续完备后根据计划进行货物卸船作业</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码头完成卸船作业后，理货公司向相关方发送理货报告。④提车客户向码头申请预约提车，码头收到提车申请并校验海关放行信息无误后，生成提车计划，向物流公司推送提车信息。⑤码头闸口读取或校验板车预约提车信息，确认无误后对提车板车放行。⑥板车到码头堆场指定位置完成提车并出闸口，完成货物交付。</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根据船期制定集港计划，并在网上或向货主或其委托的物流公司推送相关集港信息。②客户通过相关预约平台等向码头预约板车送车，码头闸口根据板车预约送车信息进行核验，核验通过后放行进场。③商品车辆进港落地后，码头向相关方发送运抵报告或可通过EDI平台查询。④码头收到海关放行信息并比对海关放行、预配无误后，安排商品车装船</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理货公司同步进行理货作业。码头完成装船作业后，理货公司向相关方发送报告。</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六、旅客服务</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（一）出境</w:t>
      </w:r>
      <w:r>
        <w:rPr>
          <w:rFonts w:hint="eastAsia" w:ascii="楷体_GB2312" w:hAnsi="楷体_GB2312" w:eastAsia="楷体_GB2312" w:cs="楷体_GB2312"/>
          <w:b/>
          <w:bCs/>
          <w:sz w:val="32"/>
          <w:szCs w:val="32"/>
          <w:lang w:eastAsia="zh-CN"/>
        </w:rPr>
        <w:t>。</w:t>
      </w:r>
    </w:p>
    <w:p>
      <w:pPr>
        <w:ind w:firstLine="640" w:firstLineChars="200"/>
        <w:jc w:val="both"/>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①船公司通知旅客上客时间，旅客在指定时间抵达码头客运中心，码头安排携带行李旅客沿人行通道前往侯船大厅。②旅客携带行李通过安检门，安检员对旅客进行人身和行李检查。③旅客前往办票柜台，在船公司工作人员引导下办理登船手续，等候通关。④旅客候船期间，客运服务人员流动执勤，提供问询和指引服务，并协助行动不便的老弱病残旅客。⑤通关开始，根据指示牌或工作人员引导，旅客依次通过海关、边检等口岸监管单位的检查。⑥经海关对旅客行李检查之后，旅客将需要托运的行李交给客运站行李工。</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（二）入境</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船舶根据船期计划靠泊码头后，旅客根据船公司安排依次下船。②旅客抵达联检大厅，在客运服务人员的引导下前往边检执勤柜台办理入境手续。③旅客前往行李房行李提取处出示行李凭证号码，经等候的船公司工作人员核对后提取行李。④旅客在海关检查区域由海关对旅客行李检查后，在工作人员引导下自行出关。</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（三）行李装卸托运作业</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旅客将需托运行李贴上行李标签，送至行李托运处。②行李装卸工将托运行李装上传送带传至或搬运至行李房。③行李装卸工按船公司要求装笼，用铲车将行李笼送至或搬运至船边。④行李装卸工和船舶代理在《行李交接单》上签字确认。</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（四）行李装卸提取作业</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铲车司机用铲车或行李装卸工将船舶上旅客托运的行李，按标记送至相应行李提取处。②行李残损由船舶代理确认，并在《行李交接单》上签字。③行李装卸工取下行李，按规则摆放。④旅客下船后至指定区域提取行李。⑤旅客将行李条凭证号码出示给船公司行李员核对。⑥船公司行李员确定凭证号码与绑在行李上的行李条码一致后，允许旅客提取行李。</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七、拖轮作业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拖轮公司通过服务平台、邮件或电话等多种方式受理船方拖轮作业服务申请。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拖轮公司按船方申请要求及拖轮配备标准，制定拖轮作业计划，向拖轮发出作业指令。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拖轮公司指定作业拖轮与服务船舶或引航员联系，按照指令开展并完成拖轮作业。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拖轮作业完成后，作业拖轮与引航员或服务船舶（包括代理人）填写的拖轮作业单据或通过电子账单进行确认，确认无误后，通过系统将作业相关信息反馈至拖轮公司。</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八、理货服务</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理货公司通过服务平台、邮件或电话等多种方式受理委托人理货服务申请。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理货公司与委托人商定理货方案，制定理货作业计划，并向理货员布置作业任务。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理货公司指定理货员或智能理货设备开展货物信息采集、货物残损鉴定、货物积载定位等理货服务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理货公司指定理货员或系统自动生成理货报告，对理货结果进行校验，完成签证交接，以报文形式向委托人发送理货信息。</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4C3D2007"/>
    <w:rsid w:val="4C3D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2023-11-16T09:13:00Z</dcterms:created>
  <dc:creator> </dc:creator>
  <cp:lastModifiedBy> </cp:lastModifiedBy>
  <dcterms:modified xsi:type="dcterms:W3CDTF">2023-11-16T09:14:02Z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97A45F1097D040DF87C36EB46D4017C3_11</vt:lpwstr>
  </property>
</Properties>
</file>